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5A3D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ajorEastAsia" w:hAnsiTheme="majorEastAsia" w:eastAsiaTheme="majorEastAsia" w:cstheme="majorEastAsia"/>
          <w:b/>
          <w:bCs/>
          <w:sz w:val="36"/>
          <w:szCs w:val="36"/>
          <w:lang w:val="en-US" w:eastAsia="zh-CN"/>
        </w:rPr>
      </w:pPr>
      <w:r>
        <w:rPr>
          <w:rFonts w:hint="eastAsia" w:ascii="宋体" w:hAnsi="宋体" w:eastAsia="宋体" w:cs="宋体"/>
          <w:b/>
          <w:bCs/>
          <w:sz w:val="32"/>
          <w:szCs w:val="32"/>
          <w:lang w:val="en-US" w:eastAsia="zh-CN"/>
        </w:rPr>
        <w:t>东华菜市场消防设施改造项目</w:t>
      </w:r>
      <w:r>
        <w:rPr>
          <w:rFonts w:hint="eastAsia" w:asciiTheme="majorEastAsia" w:hAnsiTheme="majorEastAsia" w:eastAsiaTheme="majorEastAsia" w:cstheme="majorEastAsia"/>
          <w:b/>
          <w:bCs/>
          <w:sz w:val="32"/>
          <w:szCs w:val="32"/>
          <w:lang w:val="en-US" w:eastAsia="zh-CN"/>
        </w:rPr>
        <w:t>清单编制说明</w:t>
      </w:r>
    </w:p>
    <w:p w14:paraId="26431437">
      <w:pPr>
        <w:numPr>
          <w:ilvl w:val="0"/>
          <w:numId w:val="0"/>
        </w:num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一、工程概况</w:t>
      </w:r>
    </w:p>
    <w:p w14:paraId="2D1A41F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工程名称：</w:t>
      </w:r>
      <w:r>
        <w:rPr>
          <w:rFonts w:hint="eastAsia" w:asciiTheme="minorEastAsia" w:hAnsiTheme="minorEastAsia" w:cstheme="minorEastAsia"/>
          <w:b w:val="0"/>
          <w:bCs w:val="0"/>
          <w:sz w:val="24"/>
          <w:szCs w:val="24"/>
          <w:lang w:val="en-US" w:eastAsia="zh-CN"/>
        </w:rPr>
        <w:t>东华菜市场消防设施改造项目</w:t>
      </w:r>
    </w:p>
    <w:p w14:paraId="780D05B2">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工程地点：</w:t>
      </w:r>
      <w:r>
        <w:rPr>
          <w:rFonts w:hint="eastAsia" w:asciiTheme="minorEastAsia" w:hAnsiTheme="minorEastAsia" w:cstheme="minorEastAsia"/>
          <w:b w:val="0"/>
          <w:bCs w:val="0"/>
          <w:sz w:val="24"/>
          <w:szCs w:val="24"/>
          <w:lang w:val="en-US" w:eastAsia="zh-CN"/>
        </w:rPr>
        <w:t>准格尔旗薛家湾镇</w:t>
      </w:r>
      <w:r>
        <w:rPr>
          <w:rFonts w:hint="eastAsia" w:asciiTheme="minorEastAsia" w:hAnsiTheme="minorEastAsia" w:eastAsiaTheme="minorEastAsia" w:cstheme="minorEastAsia"/>
          <w:b w:val="0"/>
          <w:bCs w:val="0"/>
          <w:sz w:val="24"/>
          <w:szCs w:val="24"/>
          <w:lang w:val="en-US" w:eastAsia="zh-CN"/>
        </w:rPr>
        <w:t xml:space="preserve"> </w:t>
      </w:r>
    </w:p>
    <w:p w14:paraId="71CB1511">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425" w:leftChars="0" w:hanging="425" w:firstLineChars="0"/>
        <w:jc w:val="left"/>
        <w:textAlignment w:val="auto"/>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工程质量：合格工程</w:t>
      </w:r>
    </w:p>
    <w:p w14:paraId="508CCC85">
      <w:pPr>
        <w:numPr>
          <w:ilvl w:val="0"/>
          <w:numId w:val="0"/>
        </w:num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二、编制范围</w:t>
      </w:r>
    </w:p>
    <w:p w14:paraId="5D76E8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jc w:val="left"/>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cstheme="minorEastAsia"/>
          <w:b w:val="0"/>
          <w:bCs w:val="0"/>
          <w:sz w:val="24"/>
          <w:szCs w:val="24"/>
          <w:lang w:val="en-US" w:eastAsia="zh-CN"/>
        </w:rPr>
        <w:t>东华菜市场消防设施改造项目，新建井房土方、土建工程、消防电气安装工程、设备工程，</w:t>
      </w:r>
      <w:r>
        <w:rPr>
          <w:rFonts w:hint="eastAsia" w:ascii="宋体" w:hAnsi="宋体" w:eastAsia="宋体" w:cs="Times New Roman"/>
          <w:sz w:val="24"/>
          <w:szCs w:val="24"/>
          <w:lang w:val="en-US" w:eastAsia="zh-CN"/>
        </w:rPr>
        <w:t>商铺改造土建工程、增设火自报报警系统工程、增设应急照明系统工程、消火栓管道及喷淋工程，室外土方工程、电气安装工程、消火栓及喷淋工程、管网破硬化及恢复工程</w:t>
      </w:r>
      <w:r>
        <w:rPr>
          <w:rFonts w:hint="eastAsia" w:asciiTheme="minorEastAsia" w:hAnsiTheme="minorEastAsia" w:cstheme="minorEastAsia"/>
          <w:b w:val="0"/>
          <w:bCs w:val="0"/>
          <w:sz w:val="24"/>
          <w:szCs w:val="24"/>
          <w:lang w:val="en-US" w:eastAsia="zh-CN"/>
        </w:rPr>
        <w:t>。</w:t>
      </w:r>
    </w:p>
    <w:p w14:paraId="62D7926B">
      <w:pPr>
        <w:numPr>
          <w:ilvl w:val="0"/>
          <w:numId w:val="0"/>
        </w:numPr>
        <w:spacing w:line="360" w:lineRule="auto"/>
        <w:rPr>
          <w:rFonts w:hint="default"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三、编制依据</w:t>
      </w:r>
    </w:p>
    <w:p w14:paraId="4C31121D">
      <w:pPr>
        <w:numPr>
          <w:ilvl w:val="0"/>
          <w:numId w:val="2"/>
        </w:numPr>
        <w:spacing w:line="360" w:lineRule="auto"/>
        <w:ind w:leftChars="0"/>
        <w:rPr>
          <w:rFonts w:hint="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计价规范</w:t>
      </w:r>
      <w:r>
        <w:rPr>
          <w:rFonts w:hint="eastAsia" w:asciiTheme="minorEastAsia" w:hAnsiTheme="minorEastAsia" w:cstheme="minorEastAsia"/>
          <w:b w:val="0"/>
          <w:bCs w:val="0"/>
          <w:sz w:val="24"/>
          <w:szCs w:val="24"/>
          <w:lang w:val="en-US" w:eastAsia="zh-CN"/>
        </w:rPr>
        <w:t>：</w:t>
      </w:r>
      <w:r>
        <w:rPr>
          <w:rFonts w:hint="eastAsia" w:asciiTheme="minorEastAsia" w:hAnsiTheme="minorEastAsia" w:eastAsiaTheme="minorEastAsia" w:cstheme="minorEastAsia"/>
          <w:b w:val="0"/>
          <w:bCs w:val="0"/>
          <w:sz w:val="24"/>
          <w:szCs w:val="24"/>
        </w:rPr>
        <w:t>工程量清单依据2013年《建设工程工程量</w:t>
      </w:r>
      <w:r>
        <w:rPr>
          <w:rFonts w:hint="eastAsia" w:asciiTheme="minorEastAsia" w:hAnsiTheme="minorEastAsia" w:cstheme="minorEastAsia"/>
          <w:b w:val="0"/>
          <w:bCs w:val="0"/>
          <w:sz w:val="24"/>
          <w:szCs w:val="24"/>
          <w:lang w:val="en-US" w:eastAsia="zh-CN"/>
        </w:rPr>
        <w:t>清单计</w:t>
      </w:r>
      <w:r>
        <w:rPr>
          <w:rFonts w:hint="eastAsia" w:asciiTheme="minorEastAsia" w:hAnsiTheme="minorEastAsia" w:eastAsiaTheme="minorEastAsia" w:cstheme="minorEastAsia"/>
          <w:b w:val="0"/>
          <w:bCs w:val="0"/>
          <w:sz w:val="24"/>
          <w:szCs w:val="24"/>
        </w:rPr>
        <w:t>价规范》GB50500-2013编制</w:t>
      </w:r>
      <w:r>
        <w:rPr>
          <w:rFonts w:hint="eastAsia" w:asciiTheme="minorEastAsia" w:hAnsiTheme="minorEastAsia" w:eastAsiaTheme="minorEastAsia" w:cstheme="minorEastAsia"/>
          <w:b w:val="0"/>
          <w:bCs w:val="0"/>
          <w:sz w:val="24"/>
          <w:szCs w:val="24"/>
          <w:lang w:eastAsia="zh-CN"/>
        </w:rPr>
        <w:t>；</w:t>
      </w:r>
    </w:p>
    <w:p w14:paraId="4EAC26C6">
      <w:pPr>
        <w:numPr>
          <w:ilvl w:val="0"/>
          <w:numId w:val="2"/>
        </w:numPr>
        <w:spacing w:line="360" w:lineRule="auto"/>
        <w:ind w:leftChars="0"/>
        <w:rPr>
          <w:rFonts w:hint="eastAsia"/>
          <w:b w:val="0"/>
          <w:bCs w:val="0"/>
          <w:sz w:val="24"/>
          <w:szCs w:val="24"/>
          <w:lang w:val="en-US" w:eastAsia="zh-CN"/>
        </w:rPr>
      </w:pPr>
      <w:r>
        <w:rPr>
          <w:rFonts w:hint="eastAsia" w:asciiTheme="minorEastAsia" w:hAnsiTheme="minorEastAsia" w:cstheme="minorEastAsia"/>
          <w:b w:val="0"/>
          <w:bCs w:val="0"/>
          <w:sz w:val="24"/>
          <w:szCs w:val="24"/>
          <w:lang w:val="en-US" w:eastAsia="zh-CN"/>
        </w:rPr>
        <w:t>税金：</w:t>
      </w:r>
      <w:r>
        <w:rPr>
          <w:rFonts w:hint="eastAsia" w:asciiTheme="minorEastAsia" w:hAnsiTheme="minorEastAsia" w:eastAsiaTheme="minorEastAsia" w:cstheme="minorEastAsia"/>
          <w:b w:val="0"/>
          <w:bCs w:val="0"/>
          <w:sz w:val="24"/>
          <w:szCs w:val="24"/>
          <w:lang w:val="en-US" w:eastAsia="zh-CN"/>
        </w:rPr>
        <w:t>税金</w:t>
      </w:r>
      <w:r>
        <w:rPr>
          <w:rFonts w:hint="eastAsia" w:asciiTheme="minorEastAsia" w:hAnsiTheme="minorEastAsia" w:eastAsiaTheme="minorEastAsia" w:cstheme="minorEastAsia"/>
          <w:b w:val="0"/>
          <w:bCs w:val="0"/>
          <w:sz w:val="24"/>
          <w:szCs w:val="24"/>
        </w:rPr>
        <w:t>执行</w:t>
      </w:r>
      <w:r>
        <w:rPr>
          <w:rFonts w:hint="eastAsia" w:asciiTheme="minorEastAsia" w:hAnsiTheme="minorEastAsia" w:eastAsiaTheme="minorEastAsia" w:cstheme="minorEastAsia"/>
          <w:b w:val="0"/>
          <w:bCs w:val="0"/>
          <w:sz w:val="24"/>
          <w:szCs w:val="24"/>
          <w:lang w:val="en-US" w:eastAsia="zh-CN"/>
        </w:rPr>
        <w:t>内建工【2019】113号文件</w:t>
      </w:r>
      <w:r>
        <w:rPr>
          <w:rFonts w:hint="eastAsia" w:asciiTheme="minorEastAsia" w:hAnsiTheme="minorEastAsia" w:eastAsiaTheme="minorEastAsia" w:cstheme="minorEastAsia"/>
          <w:b w:val="0"/>
          <w:bCs w:val="0"/>
          <w:sz w:val="24"/>
          <w:szCs w:val="24"/>
        </w:rPr>
        <w:t>关于调整内蒙古自治区建设工程</w:t>
      </w:r>
      <w:r>
        <w:rPr>
          <w:rFonts w:hint="eastAsia" w:asciiTheme="minorEastAsia" w:hAnsiTheme="minorEastAsia" w:eastAsiaTheme="minorEastAsia" w:cstheme="minorEastAsia"/>
          <w:b w:val="0"/>
          <w:bCs w:val="0"/>
          <w:sz w:val="24"/>
          <w:szCs w:val="24"/>
          <w:lang w:val="en-US" w:eastAsia="zh-CN"/>
        </w:rPr>
        <w:t>计价依据增值税税率</w:t>
      </w:r>
      <w:r>
        <w:rPr>
          <w:rFonts w:hint="eastAsia" w:asciiTheme="minorEastAsia" w:hAnsiTheme="minorEastAsia" w:eastAsiaTheme="minorEastAsia" w:cstheme="minorEastAsia"/>
          <w:b w:val="0"/>
          <w:bCs w:val="0"/>
          <w:sz w:val="24"/>
          <w:szCs w:val="24"/>
        </w:rPr>
        <w:t>的通知</w:t>
      </w:r>
      <w:r>
        <w:rPr>
          <w:rFonts w:hint="eastAsia" w:asciiTheme="minorEastAsia" w:hAnsiTheme="minorEastAsia" w:eastAsiaTheme="minorEastAsia" w:cstheme="minorEastAsia"/>
          <w:b w:val="0"/>
          <w:bCs w:val="0"/>
          <w:sz w:val="24"/>
          <w:szCs w:val="24"/>
          <w:lang w:eastAsia="zh-CN"/>
        </w:rPr>
        <w:t>：</w:t>
      </w:r>
      <w:r>
        <w:rPr>
          <w:rFonts w:hint="eastAsia" w:asciiTheme="minorEastAsia" w:hAnsiTheme="minorEastAsia" w:eastAsiaTheme="minorEastAsia" w:cstheme="minorEastAsia"/>
          <w:b w:val="0"/>
          <w:bCs w:val="0"/>
          <w:sz w:val="24"/>
          <w:szCs w:val="24"/>
          <w:lang w:val="en-US" w:eastAsia="zh-CN"/>
        </w:rPr>
        <w:t>增值税税率按9%计取</w:t>
      </w:r>
      <w:r>
        <w:rPr>
          <w:rFonts w:hint="eastAsia" w:asciiTheme="minorEastAsia" w:hAnsiTheme="minorEastAsia" w:cstheme="minorEastAsia"/>
          <w:b w:val="0"/>
          <w:bCs w:val="0"/>
          <w:sz w:val="24"/>
          <w:szCs w:val="24"/>
          <w:lang w:val="en-US" w:eastAsia="zh-CN"/>
        </w:rPr>
        <w:t>；</w:t>
      </w:r>
    </w:p>
    <w:p w14:paraId="3543BA17">
      <w:pPr>
        <w:numPr>
          <w:ilvl w:val="0"/>
          <w:numId w:val="2"/>
        </w:numPr>
        <w:spacing w:line="360" w:lineRule="auto"/>
        <w:ind w:leftChars="0"/>
        <w:rPr>
          <w:rFonts w:hint="eastAsia"/>
          <w:b w:val="0"/>
          <w:bCs w:val="0"/>
          <w:sz w:val="24"/>
          <w:szCs w:val="24"/>
          <w:lang w:val="en-US" w:eastAsia="zh-CN"/>
        </w:rPr>
      </w:pPr>
      <w:r>
        <w:rPr>
          <w:rFonts w:hint="eastAsia" w:asciiTheme="minorEastAsia" w:hAnsiTheme="minorEastAsia" w:cstheme="minorEastAsia"/>
          <w:b w:val="0"/>
          <w:bCs w:val="0"/>
          <w:sz w:val="24"/>
          <w:szCs w:val="24"/>
          <w:lang w:val="en-US" w:eastAsia="zh-CN"/>
        </w:rPr>
        <w:t>规费</w:t>
      </w:r>
      <w:r>
        <w:rPr>
          <w:rFonts w:hint="eastAsia" w:asciiTheme="minorEastAsia" w:hAnsiTheme="minorEastAsia" w:eastAsiaTheme="minorEastAsia" w:cstheme="minorEastAsia"/>
          <w:b w:val="0"/>
          <w:bCs w:val="0"/>
          <w:sz w:val="24"/>
          <w:szCs w:val="24"/>
          <w:lang w:val="en-US" w:eastAsia="zh-CN"/>
        </w:rPr>
        <w:t>：按以人工费（不含机上人工）为基数，费率按照</w:t>
      </w:r>
      <w:r>
        <w:rPr>
          <w:rFonts w:hint="eastAsia" w:asciiTheme="minorEastAsia" w:hAnsiTheme="minorEastAsia" w:cstheme="minorEastAsia"/>
          <w:b w:val="0"/>
          <w:bCs w:val="0"/>
          <w:sz w:val="24"/>
          <w:szCs w:val="24"/>
          <w:lang w:val="en-US" w:eastAsia="zh-CN"/>
        </w:rPr>
        <w:t>19</w:t>
      </w:r>
      <w:r>
        <w:rPr>
          <w:rFonts w:hint="eastAsia" w:asciiTheme="minorEastAsia" w:hAnsiTheme="minorEastAsia" w:eastAsiaTheme="minorEastAsia" w:cstheme="minorEastAsia"/>
          <w:b w:val="0"/>
          <w:bCs w:val="0"/>
          <w:sz w:val="24"/>
          <w:szCs w:val="24"/>
          <w:lang w:val="en-US" w:eastAsia="zh-CN"/>
        </w:rPr>
        <w:t>%计取</w:t>
      </w:r>
      <w:r>
        <w:rPr>
          <w:rFonts w:hint="eastAsia" w:asciiTheme="minorEastAsia" w:hAnsiTheme="minorEastAsia" w:cstheme="minorEastAsia"/>
          <w:b w:val="0"/>
          <w:bCs w:val="0"/>
          <w:sz w:val="24"/>
          <w:szCs w:val="24"/>
          <w:lang w:val="en-US" w:eastAsia="zh-CN"/>
        </w:rPr>
        <w:t>；</w:t>
      </w:r>
    </w:p>
    <w:p w14:paraId="260956FA">
      <w:pPr>
        <w:numPr>
          <w:ilvl w:val="0"/>
          <w:numId w:val="2"/>
        </w:numPr>
        <w:spacing w:line="360" w:lineRule="auto"/>
        <w:ind w:leftChars="0"/>
        <w:rPr>
          <w:rFonts w:hint="eastAsia"/>
          <w:b w:val="0"/>
          <w:bCs w:val="0"/>
          <w:sz w:val="24"/>
          <w:szCs w:val="24"/>
          <w:lang w:val="en-US" w:eastAsia="zh-CN"/>
        </w:rPr>
      </w:pPr>
      <w:r>
        <w:rPr>
          <w:rFonts w:hint="eastAsia" w:asciiTheme="minorEastAsia" w:hAnsiTheme="minorEastAsia" w:cstheme="minorEastAsia"/>
          <w:b w:val="0"/>
          <w:bCs w:val="0"/>
          <w:sz w:val="24"/>
          <w:szCs w:val="24"/>
          <w:lang w:val="en-US" w:eastAsia="zh-CN"/>
        </w:rPr>
        <w:t>人工费：按照内蒙古自治区住房和城乡建设局发布的内建标【2021】148号文件，定额人工费上调10%；</w:t>
      </w:r>
    </w:p>
    <w:p w14:paraId="314ED32F">
      <w:pPr>
        <w:numPr>
          <w:ilvl w:val="0"/>
          <w:numId w:val="2"/>
        </w:numPr>
        <w:spacing w:line="360" w:lineRule="auto"/>
        <w:ind w:leftChars="0"/>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安全文明施工费、安全生产费计提费用执行内蒙古自治区住房和城乡建设厅文件内建标〔2025〕98号文件；</w:t>
      </w:r>
    </w:p>
    <w:p w14:paraId="7463169F">
      <w:pPr>
        <w:numPr>
          <w:ilvl w:val="0"/>
          <w:numId w:val="0"/>
        </w:numPr>
        <w:spacing w:line="360" w:lineRule="auto"/>
        <w:rPr>
          <w:rFonts w:hint="eastAsia" w:asciiTheme="minorEastAsia" w:hAnsiTheme="minorEastAsia" w:cstheme="minorEastAsia"/>
          <w:b/>
          <w:bCs/>
          <w:sz w:val="24"/>
          <w:szCs w:val="24"/>
          <w:lang w:val="en-US" w:eastAsia="zh-CN"/>
        </w:rPr>
      </w:pPr>
      <w:r>
        <w:rPr>
          <w:rFonts w:hint="eastAsia" w:asciiTheme="minorEastAsia" w:hAnsiTheme="minorEastAsia" w:cstheme="minorEastAsia"/>
          <w:b/>
          <w:bCs/>
          <w:sz w:val="24"/>
          <w:szCs w:val="24"/>
          <w:lang w:val="en-US" w:eastAsia="zh-CN"/>
        </w:rPr>
        <w:t>四、编制说明</w:t>
      </w:r>
    </w:p>
    <w:p w14:paraId="2DD8A897">
      <w:pPr>
        <w:numPr>
          <w:ilvl w:val="0"/>
          <w:numId w:val="0"/>
        </w:numPr>
        <w:spacing w:line="360" w:lineRule="auto"/>
        <w:ind w:firstLine="480" w:firstLineChars="200"/>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1、新建井房消防电气安装工程里的室外免维护型柴油发电机组按照65000元/套暂估综合单价（不含税）；新建井房设备工程里的</w:t>
      </w:r>
      <w:bookmarkStart w:id="0" w:name="_GoBack"/>
      <w:bookmarkEnd w:id="0"/>
      <w:r>
        <w:rPr>
          <w:rFonts w:hint="eastAsia" w:asciiTheme="minorEastAsia" w:hAnsiTheme="minorEastAsia" w:cstheme="minorEastAsia"/>
          <w:b w:val="0"/>
          <w:bCs w:val="0"/>
          <w:sz w:val="24"/>
          <w:szCs w:val="24"/>
          <w:lang w:val="en-US" w:eastAsia="zh-CN"/>
        </w:rPr>
        <w:t>钻井（含打井、井下水泵、管道等满足最终使用要求）按照80000元/座暂估综合单价（不含税）。</w:t>
      </w:r>
    </w:p>
    <w:p w14:paraId="01E0E315">
      <w:pPr>
        <w:numPr>
          <w:ilvl w:val="0"/>
          <w:numId w:val="0"/>
        </w:numPr>
        <w:spacing w:line="360" w:lineRule="auto"/>
        <w:ind w:firstLine="480" w:firstLineChars="200"/>
        <w:rPr>
          <w:rFonts w:hint="eastAsia"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2、暂列金额180000元（不含税），详见暂列金额其他项目清单与计价汇总表，招投标时不得作为竞争性费用，严格按清单计价规</w:t>
      </w:r>
      <w:r>
        <w:rPr>
          <w:rFonts w:hint="default" w:asciiTheme="minorEastAsia" w:hAnsiTheme="minorEastAsia" w:cstheme="minorEastAsia"/>
          <w:b w:val="0"/>
          <w:bCs w:val="0"/>
          <w:sz w:val="24"/>
          <w:szCs w:val="24"/>
          <w:lang w:val="en-US" w:eastAsia="zh-CN"/>
        </w:rPr>
        <w:t>范计取9%税金后进行编制</w:t>
      </w:r>
      <w:r>
        <w:rPr>
          <w:rFonts w:hint="eastAsia" w:asciiTheme="minorEastAsia" w:hAnsiTheme="minorEastAsia" w:cstheme="minorEastAsia"/>
          <w:b w:val="0"/>
          <w:bCs w:val="0"/>
          <w:sz w:val="24"/>
          <w:szCs w:val="24"/>
          <w:lang w:val="en-US" w:eastAsia="zh-CN"/>
        </w:rPr>
        <w:t>，若清单电子招标书中本次费用不显示金额，投标单位严格按照本说明执行。</w:t>
      </w:r>
    </w:p>
    <w:p w14:paraId="5036BAD8">
      <w:pPr>
        <w:numPr>
          <w:ilvl w:val="0"/>
          <w:numId w:val="0"/>
        </w:numPr>
        <w:spacing w:line="360" w:lineRule="auto"/>
        <w:ind w:firstLine="480" w:firstLineChars="200"/>
        <w:rPr>
          <w:rFonts w:hint="default" w:asciiTheme="minorEastAsia" w:hAnsiTheme="minorEastAsia" w:cstheme="minorEastAsia"/>
          <w:b w:val="0"/>
          <w:bCs w:val="0"/>
          <w:sz w:val="24"/>
          <w:szCs w:val="24"/>
          <w:lang w:val="en-US" w:eastAsia="zh-CN"/>
        </w:rPr>
      </w:pPr>
      <w:r>
        <w:rPr>
          <w:rFonts w:hint="eastAsia" w:asciiTheme="minorEastAsia" w:hAnsiTheme="minorEastAsia" w:cstheme="minorEastAsia"/>
          <w:b w:val="0"/>
          <w:bCs w:val="0"/>
          <w:sz w:val="24"/>
          <w:szCs w:val="24"/>
          <w:lang w:val="en-US" w:eastAsia="zh-CN"/>
        </w:rPr>
        <w:t>3、本工程设安全生产计提费安全生产计提费暂估89220元（不含税），详见安全生产费其他项目清单与计价汇总表，招投标时不得作为竞争性费用，严格按清单计价规范计取 9%税金后进行编制,若清单电子招标书中本项费用不显示金额，投标单位严格按照本说明执行。</w:t>
      </w:r>
    </w:p>
    <w:p w14:paraId="37670C8F">
      <w:pPr>
        <w:numPr>
          <w:ilvl w:val="0"/>
          <w:numId w:val="0"/>
        </w:numPr>
        <w:spacing w:line="360" w:lineRule="auto"/>
        <w:ind w:firstLine="480" w:firstLineChars="200"/>
        <w:rPr>
          <w:rFonts w:hint="eastAsia" w:asciiTheme="minorEastAsia" w:hAnsiTheme="minorEastAsia" w:cstheme="minorEastAsia"/>
          <w:b w:val="0"/>
          <w:bCs w:val="0"/>
          <w:sz w:val="24"/>
          <w:szCs w:val="24"/>
          <w:lang w:val="en-US" w:eastAsia="zh-CN"/>
        </w:rPr>
      </w:pPr>
    </w:p>
    <w:p w14:paraId="133226A9">
      <w:pPr>
        <w:numPr>
          <w:ilvl w:val="0"/>
          <w:numId w:val="0"/>
        </w:numPr>
        <w:spacing w:line="360" w:lineRule="auto"/>
        <w:rPr>
          <w:rFonts w:hint="default" w:asciiTheme="minorEastAsia" w:hAnsiTheme="minorEastAsia" w:cstheme="minorEastAsia"/>
          <w:b w:val="0"/>
          <w:bCs w:val="0"/>
          <w:sz w:val="24"/>
          <w:szCs w:val="24"/>
          <w:lang w:val="en-US" w:eastAsia="zh-CN"/>
        </w:rPr>
      </w:pPr>
    </w:p>
    <w:p w14:paraId="59C7CF55">
      <w:pPr>
        <w:widowControl w:val="0"/>
        <w:numPr>
          <w:ilvl w:val="0"/>
          <w:numId w:val="0"/>
        </w:numPr>
        <w:jc w:val="both"/>
        <w:rPr>
          <w:rFonts w:hint="eastAsia"/>
          <w:b w:val="0"/>
          <w:bCs w:val="0"/>
          <w:sz w:val="21"/>
          <w:szCs w:val="21"/>
          <w:lang w:val="en-US" w:eastAsia="zh-CN"/>
        </w:rPr>
      </w:pPr>
    </w:p>
    <w:p w14:paraId="327BD061">
      <w:pPr>
        <w:widowControl w:val="0"/>
        <w:numPr>
          <w:ilvl w:val="0"/>
          <w:numId w:val="0"/>
        </w:numPr>
        <w:jc w:val="both"/>
        <w:rPr>
          <w:rFonts w:hint="eastAsia"/>
          <w:b w:val="0"/>
          <w:bCs w:val="0"/>
          <w:sz w:val="21"/>
          <w:szCs w:val="21"/>
          <w:lang w:val="en-US" w:eastAsia="zh-CN"/>
        </w:rPr>
      </w:pPr>
    </w:p>
    <w:p w14:paraId="3E86750B">
      <w:pPr>
        <w:numPr>
          <w:ilvl w:val="0"/>
          <w:numId w:val="0"/>
        </w:numPr>
        <w:spacing w:line="360" w:lineRule="auto"/>
        <w:ind w:firstLine="480" w:firstLineChars="200"/>
        <w:rPr>
          <w:rFonts w:hint="eastAsia" w:asciiTheme="minorEastAsia" w:hAnsiTheme="minorEastAsia" w:cstheme="minorEastAsia"/>
          <w:b w:val="0"/>
          <w:bCs w:val="0"/>
          <w:sz w:val="24"/>
          <w:szCs w:val="24"/>
          <w:lang w:val="en-US" w:eastAsia="zh-CN"/>
        </w:rPr>
      </w:pPr>
    </w:p>
    <w:p w14:paraId="445D2CAF">
      <w:pPr>
        <w:numPr>
          <w:ilvl w:val="0"/>
          <w:numId w:val="0"/>
        </w:numPr>
        <w:spacing w:line="360" w:lineRule="auto"/>
        <w:ind w:firstLine="480" w:firstLineChars="200"/>
        <w:rPr>
          <w:rFonts w:hint="eastAsia" w:asciiTheme="minorEastAsia" w:hAnsiTheme="minorEastAsia" w:cstheme="minorEastAsia"/>
          <w:b w:val="0"/>
          <w:bCs w:val="0"/>
          <w:sz w:val="24"/>
          <w:szCs w:val="24"/>
          <w:lang w:val="en-US" w:eastAsia="zh-CN"/>
        </w:rPr>
      </w:pPr>
    </w:p>
    <w:p w14:paraId="27106512">
      <w:pPr>
        <w:numPr>
          <w:ilvl w:val="0"/>
          <w:numId w:val="0"/>
        </w:numPr>
        <w:spacing w:line="360" w:lineRule="auto"/>
        <w:ind w:firstLine="5280" w:firstLineChars="2200"/>
        <w:rPr>
          <w:rFonts w:hint="default" w:asciiTheme="minorEastAsia" w:hAnsiTheme="minorEastAsia" w:cstheme="minorEastAsia"/>
          <w:b w:val="0"/>
          <w:bCs w:val="0"/>
          <w:sz w:val="24"/>
          <w:szCs w:val="24"/>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67711">
    <w:pPr>
      <w:pStyle w:val="2"/>
      <w:jc w:val="center"/>
      <w:rPr>
        <w:rFonts w:hint="eastAsia"/>
        <w:sz w:val="2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0A5EEA"/>
    <w:multiLevelType w:val="singleLevel"/>
    <w:tmpl w:val="AA0A5EEA"/>
    <w:lvl w:ilvl="0" w:tentative="0">
      <w:start w:val="1"/>
      <w:numFmt w:val="decimal"/>
      <w:lvlText w:val="(%1)"/>
      <w:lvlJc w:val="left"/>
      <w:pPr>
        <w:ind w:left="425" w:hanging="425"/>
      </w:pPr>
      <w:rPr>
        <w:rFonts w:hint="default"/>
      </w:rPr>
    </w:lvl>
  </w:abstractNum>
  <w:abstractNum w:abstractNumId="1">
    <w:nsid w:val="DFB8D852"/>
    <w:multiLevelType w:val="singleLevel"/>
    <w:tmpl w:val="DFB8D85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lMmZlZWIwMWVjYTAwZWQxNWI2ZDZhZmZlNmYyZDQifQ=="/>
  </w:docVars>
  <w:rsids>
    <w:rsidRoot w:val="30ED6C9C"/>
    <w:rsid w:val="009B0980"/>
    <w:rsid w:val="01983C7F"/>
    <w:rsid w:val="01AC75F0"/>
    <w:rsid w:val="022C2CE5"/>
    <w:rsid w:val="028D7E61"/>
    <w:rsid w:val="04043713"/>
    <w:rsid w:val="04AE2790"/>
    <w:rsid w:val="054856B8"/>
    <w:rsid w:val="055B3806"/>
    <w:rsid w:val="058C1C12"/>
    <w:rsid w:val="05D807C1"/>
    <w:rsid w:val="064A7F1D"/>
    <w:rsid w:val="07927016"/>
    <w:rsid w:val="08001B7A"/>
    <w:rsid w:val="090C5AAD"/>
    <w:rsid w:val="09D26061"/>
    <w:rsid w:val="0A15637B"/>
    <w:rsid w:val="0AE860F7"/>
    <w:rsid w:val="0C7C4A4B"/>
    <w:rsid w:val="0C874EE1"/>
    <w:rsid w:val="0DC12675"/>
    <w:rsid w:val="0DFB2743"/>
    <w:rsid w:val="0F097C67"/>
    <w:rsid w:val="0F140F14"/>
    <w:rsid w:val="0F6365A6"/>
    <w:rsid w:val="1030763E"/>
    <w:rsid w:val="10C36CCD"/>
    <w:rsid w:val="117B7E15"/>
    <w:rsid w:val="119105B0"/>
    <w:rsid w:val="11FB1DB4"/>
    <w:rsid w:val="124D097B"/>
    <w:rsid w:val="12E80D56"/>
    <w:rsid w:val="13DD5D2E"/>
    <w:rsid w:val="13EC5F71"/>
    <w:rsid w:val="140944E3"/>
    <w:rsid w:val="14D20EEC"/>
    <w:rsid w:val="15205ED3"/>
    <w:rsid w:val="15543DCE"/>
    <w:rsid w:val="159523A0"/>
    <w:rsid w:val="15CC022F"/>
    <w:rsid w:val="1633554C"/>
    <w:rsid w:val="163F3197"/>
    <w:rsid w:val="16E262F0"/>
    <w:rsid w:val="17035AAC"/>
    <w:rsid w:val="17FF2717"/>
    <w:rsid w:val="18027C63"/>
    <w:rsid w:val="1A613215"/>
    <w:rsid w:val="1AB66F4A"/>
    <w:rsid w:val="1ACD3043"/>
    <w:rsid w:val="1BA5448B"/>
    <w:rsid w:val="1CBD31EC"/>
    <w:rsid w:val="1D4961E3"/>
    <w:rsid w:val="1D7A45EE"/>
    <w:rsid w:val="1D8254C7"/>
    <w:rsid w:val="1E05035C"/>
    <w:rsid w:val="1E546BED"/>
    <w:rsid w:val="1EC42FC9"/>
    <w:rsid w:val="1F2E5690"/>
    <w:rsid w:val="1F576995"/>
    <w:rsid w:val="1FAF24AC"/>
    <w:rsid w:val="20084133"/>
    <w:rsid w:val="20711CD8"/>
    <w:rsid w:val="20937DD2"/>
    <w:rsid w:val="2108274A"/>
    <w:rsid w:val="214E5432"/>
    <w:rsid w:val="21515493"/>
    <w:rsid w:val="21AC652E"/>
    <w:rsid w:val="23573478"/>
    <w:rsid w:val="24473D57"/>
    <w:rsid w:val="24AF2D20"/>
    <w:rsid w:val="2540611D"/>
    <w:rsid w:val="2612235D"/>
    <w:rsid w:val="26E66649"/>
    <w:rsid w:val="26F251F5"/>
    <w:rsid w:val="271B5A35"/>
    <w:rsid w:val="279779B2"/>
    <w:rsid w:val="29445EAC"/>
    <w:rsid w:val="29E21551"/>
    <w:rsid w:val="2A4B1CC7"/>
    <w:rsid w:val="2A697432"/>
    <w:rsid w:val="2AF15FE3"/>
    <w:rsid w:val="2B6D12EE"/>
    <w:rsid w:val="2C0E62EF"/>
    <w:rsid w:val="2D173C07"/>
    <w:rsid w:val="2DD411ED"/>
    <w:rsid w:val="2E2C0A9C"/>
    <w:rsid w:val="2E553C68"/>
    <w:rsid w:val="2F1771D1"/>
    <w:rsid w:val="2FE75B13"/>
    <w:rsid w:val="301A71FB"/>
    <w:rsid w:val="30403475"/>
    <w:rsid w:val="30442F65"/>
    <w:rsid w:val="306A22A0"/>
    <w:rsid w:val="30797F40"/>
    <w:rsid w:val="30B359F5"/>
    <w:rsid w:val="30ED6C9C"/>
    <w:rsid w:val="30FE3D33"/>
    <w:rsid w:val="33822C8E"/>
    <w:rsid w:val="34147BE6"/>
    <w:rsid w:val="34EB4BE4"/>
    <w:rsid w:val="35544EF7"/>
    <w:rsid w:val="35DA3F7F"/>
    <w:rsid w:val="36645A8D"/>
    <w:rsid w:val="36C84897"/>
    <w:rsid w:val="36F00E70"/>
    <w:rsid w:val="37896CF9"/>
    <w:rsid w:val="37D54E58"/>
    <w:rsid w:val="37DB52B9"/>
    <w:rsid w:val="385E6B8E"/>
    <w:rsid w:val="38C53E5F"/>
    <w:rsid w:val="39A46823"/>
    <w:rsid w:val="39CE35E7"/>
    <w:rsid w:val="3AE40808"/>
    <w:rsid w:val="3B027CA5"/>
    <w:rsid w:val="3B733360"/>
    <w:rsid w:val="3C277297"/>
    <w:rsid w:val="3DE360C2"/>
    <w:rsid w:val="3E06408C"/>
    <w:rsid w:val="3E976252"/>
    <w:rsid w:val="3E9E4E87"/>
    <w:rsid w:val="3EA01752"/>
    <w:rsid w:val="3F506C0D"/>
    <w:rsid w:val="3F60619D"/>
    <w:rsid w:val="40387CC5"/>
    <w:rsid w:val="40812BC4"/>
    <w:rsid w:val="4157723C"/>
    <w:rsid w:val="43362BE2"/>
    <w:rsid w:val="43813731"/>
    <w:rsid w:val="441D5550"/>
    <w:rsid w:val="45260C15"/>
    <w:rsid w:val="45735645"/>
    <w:rsid w:val="47185D83"/>
    <w:rsid w:val="47C06F1E"/>
    <w:rsid w:val="483C61FE"/>
    <w:rsid w:val="489B1758"/>
    <w:rsid w:val="48AA28BE"/>
    <w:rsid w:val="48DB1B35"/>
    <w:rsid w:val="497038EE"/>
    <w:rsid w:val="4A325708"/>
    <w:rsid w:val="4A331C29"/>
    <w:rsid w:val="4B0572AE"/>
    <w:rsid w:val="4D5161BA"/>
    <w:rsid w:val="4F51066C"/>
    <w:rsid w:val="4FDD7737"/>
    <w:rsid w:val="501645BE"/>
    <w:rsid w:val="50E05BE1"/>
    <w:rsid w:val="511A2E6A"/>
    <w:rsid w:val="511C1664"/>
    <w:rsid w:val="522B0134"/>
    <w:rsid w:val="526315E1"/>
    <w:rsid w:val="529E60AD"/>
    <w:rsid w:val="52F45CCD"/>
    <w:rsid w:val="53B050A8"/>
    <w:rsid w:val="53F63B99"/>
    <w:rsid w:val="54684BC5"/>
    <w:rsid w:val="549D37FC"/>
    <w:rsid w:val="54C17E31"/>
    <w:rsid w:val="552479B1"/>
    <w:rsid w:val="55652D3F"/>
    <w:rsid w:val="557E4EF0"/>
    <w:rsid w:val="57FB4E0A"/>
    <w:rsid w:val="59246BE1"/>
    <w:rsid w:val="59C53F20"/>
    <w:rsid w:val="5A5D37AD"/>
    <w:rsid w:val="5B9F173A"/>
    <w:rsid w:val="5BCE35BB"/>
    <w:rsid w:val="5C32570E"/>
    <w:rsid w:val="5E090C5D"/>
    <w:rsid w:val="5E384C13"/>
    <w:rsid w:val="5F3D21B2"/>
    <w:rsid w:val="5FFF7D93"/>
    <w:rsid w:val="61F53810"/>
    <w:rsid w:val="62C001B9"/>
    <w:rsid w:val="62DB2A06"/>
    <w:rsid w:val="62F764ED"/>
    <w:rsid w:val="63071A4D"/>
    <w:rsid w:val="63147CC6"/>
    <w:rsid w:val="63240F67"/>
    <w:rsid w:val="63A2599E"/>
    <w:rsid w:val="63A70B3A"/>
    <w:rsid w:val="651A7D50"/>
    <w:rsid w:val="66572EA7"/>
    <w:rsid w:val="675013E4"/>
    <w:rsid w:val="678371C8"/>
    <w:rsid w:val="6865349E"/>
    <w:rsid w:val="6A26472F"/>
    <w:rsid w:val="6A892D47"/>
    <w:rsid w:val="6C924135"/>
    <w:rsid w:val="6CA87CC8"/>
    <w:rsid w:val="6CE30E35"/>
    <w:rsid w:val="6E0077C5"/>
    <w:rsid w:val="6EB56801"/>
    <w:rsid w:val="6ECF1C1D"/>
    <w:rsid w:val="6FFC24F7"/>
    <w:rsid w:val="70421843"/>
    <w:rsid w:val="70DD021B"/>
    <w:rsid w:val="71FA6D52"/>
    <w:rsid w:val="72142791"/>
    <w:rsid w:val="726B27E7"/>
    <w:rsid w:val="727458DD"/>
    <w:rsid w:val="740E6E1A"/>
    <w:rsid w:val="74D3353D"/>
    <w:rsid w:val="74E45B0F"/>
    <w:rsid w:val="75083695"/>
    <w:rsid w:val="751F174F"/>
    <w:rsid w:val="7527425B"/>
    <w:rsid w:val="759058D2"/>
    <w:rsid w:val="75EB5A7D"/>
    <w:rsid w:val="76BF082B"/>
    <w:rsid w:val="77390515"/>
    <w:rsid w:val="77D10544"/>
    <w:rsid w:val="7821488A"/>
    <w:rsid w:val="784E177A"/>
    <w:rsid w:val="785D3153"/>
    <w:rsid w:val="791068B4"/>
    <w:rsid w:val="7A5029FE"/>
    <w:rsid w:val="7BAB4A18"/>
    <w:rsid w:val="7BD67201"/>
    <w:rsid w:val="7C8B271C"/>
    <w:rsid w:val="7E486D4A"/>
    <w:rsid w:val="7E8614D5"/>
    <w:rsid w:val="7F452378"/>
    <w:rsid w:val="7F452858"/>
    <w:rsid w:val="7F480FCB"/>
    <w:rsid w:val="7F5D2632"/>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709</Words>
  <Characters>761</Characters>
  <Lines>0</Lines>
  <Paragraphs>0</Paragraphs>
  <TotalTime>4</TotalTime>
  <ScaleCrop>false</ScaleCrop>
  <LinksUpToDate>false</LinksUpToDate>
  <CharactersWithSpaces>763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2019-11-30T03:29:00Z</dcterms:created>
  <dc:creator>LYX</dc:creator>
  <cp:lastModifiedBy>LYX</cp:lastModifiedBy>
  <cp:lastPrinted>2023-02-03T09:54:00Z</cp:lastPrinted>
  <dcterms:modified xsi:type="dcterms:W3CDTF">2025-10-29T03:25:40Z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0BC001B6F5E54A7182C025755C34BBE6_13</vt:lpwstr>
  </property>
  <property fmtid="{D5CDD505-2E9C-101B-9397-08002B2CF9AE}" pid="4" name="KSOTemplateDocerSaveRecord">
    <vt:lpwstr>eyJoZGlkIjoiNjA2YTRkOTQxYTQ4NTIxYjU4NjQwMTUwOWUxNDY0NGUiLCJ1c2VySWQiOiIyNzczOTAyNDkifQ==</vt:lpwstr>
  </property>
</Properties>
</file>